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F791F" w14:textId="77777777" w:rsidR="009C111F" w:rsidRPr="009C111F" w:rsidRDefault="009C111F" w:rsidP="009C111F">
      <w:pPr>
        <w:pStyle w:val="Heading1"/>
        <w:pBdr>
          <w:bottom w:val="single" w:sz="12" w:space="4" w:color="6B2C91"/>
        </w:pBdr>
        <w:spacing w:after="200" w:line="360" w:lineRule="auto"/>
        <w:rPr>
          <w:rFonts w:ascii="Times New Roman" w:hAnsi="Times New Roman" w:cs="Times New Roman"/>
          <w:color w:val="auto"/>
          <w:sz w:val="24"/>
          <w:szCs w:val="24"/>
        </w:rPr>
      </w:pPr>
      <w:bookmarkStart w:id="0" w:name="_Toc236995346"/>
      <w:r w:rsidRPr="009C111F">
        <w:rPr>
          <w:rFonts w:ascii="Times New Roman" w:hAnsi="Times New Roman" w:cs="Times New Roman"/>
          <w:color w:val="auto"/>
          <w:sz w:val="24"/>
          <w:szCs w:val="24"/>
        </w:rPr>
        <w:t>SAFEGUARDING POLICY</w:t>
      </w:r>
      <w:bookmarkStart w:id="1" w:name="_Toc236995347"/>
      <w:bookmarkEnd w:id="0"/>
    </w:p>
    <w:p w14:paraId="3391DC26" w14:textId="5A00ACAD" w:rsidR="009C111F" w:rsidRPr="009C111F" w:rsidRDefault="009C111F" w:rsidP="009C111F">
      <w:pPr>
        <w:pStyle w:val="Heading1"/>
        <w:pBdr>
          <w:bottom w:val="single" w:sz="12" w:space="4" w:color="6B2C91"/>
        </w:pBdr>
        <w:spacing w:after="200" w:line="360" w:lineRule="auto"/>
        <w:rPr>
          <w:rFonts w:ascii="Times New Roman" w:hAnsi="Times New Roman" w:cs="Times New Roman"/>
          <w:color w:val="auto"/>
          <w:sz w:val="24"/>
          <w:szCs w:val="24"/>
        </w:rPr>
      </w:pPr>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 xml:space="preserve">.0 </w:t>
      </w:r>
      <w:r w:rsidRPr="009C111F">
        <w:rPr>
          <w:rFonts w:ascii="Times New Roman" w:hAnsi="Times New Roman" w:cs="Times New Roman"/>
          <w:color w:val="auto"/>
          <w:sz w:val="24"/>
          <w:szCs w:val="24"/>
        </w:rPr>
        <w:t>Policy Statement</w:t>
      </w:r>
      <w:bookmarkEnd w:id="1"/>
    </w:p>
    <w:p w14:paraId="24C7AD9D" w14:textId="1A907980" w:rsidR="009C111F" w:rsidRPr="009C111F" w:rsidRDefault="009C111F" w:rsidP="009C111F">
      <w:pPr>
        <w:pStyle w:val="Heading1"/>
        <w:pBdr>
          <w:bottom w:val="single" w:sz="12" w:space="4" w:color="6B2C91"/>
        </w:pBdr>
        <w:spacing w:after="200" w:line="360" w:lineRule="auto"/>
        <w:rPr>
          <w:rFonts w:ascii="Times New Roman" w:hAnsi="Times New Roman" w:cs="Times New Roman"/>
          <w:color w:val="auto"/>
          <w:sz w:val="24"/>
          <w:szCs w:val="24"/>
        </w:rPr>
      </w:pPr>
      <w:r w:rsidRPr="009C111F">
        <w:rPr>
          <w:rFonts w:ascii="Times New Roman" w:hAnsi="Times New Roman" w:cs="Times New Roman"/>
          <w:color w:val="auto"/>
          <w:sz w:val="24"/>
          <w:szCs w:val="24"/>
        </w:rPr>
        <w:t>CK Mensah Foundation has zero tolerance for the abuse, exploitation, neglect, or harassment of children and vulnerable adults by its staff, Trustees, volunteers, consultants, or partners, in connection with its programmes. Every person engaged by the Foundation shares responsibility for safeguarding, regardless of role or seniority.</w:t>
      </w:r>
    </w:p>
    <w:p w14:paraId="1B5C3874" w14:textId="2950C334" w:rsidR="009C111F" w:rsidRPr="009C111F" w:rsidRDefault="009C111F" w:rsidP="009C111F">
      <w:pPr>
        <w:pStyle w:val="Heading2"/>
        <w:spacing w:line="360" w:lineRule="auto"/>
        <w:rPr>
          <w:rFonts w:ascii="Times New Roman" w:hAnsi="Times New Roman" w:cs="Times New Roman"/>
          <w:color w:val="auto"/>
          <w:sz w:val="24"/>
          <w:szCs w:val="24"/>
        </w:rPr>
      </w:pPr>
      <w:bookmarkStart w:id="2" w:name="_Toc236995348"/>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w:t>
      </w:r>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 xml:space="preserve"> Scope and Definitions</w:t>
      </w:r>
      <w:bookmarkEnd w:id="2"/>
    </w:p>
    <w:p w14:paraId="3BEE7A81" w14:textId="0EE18492"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 xml:space="preserve">This Policy applies to all Trustees, staff, volunteers, interns, consultants, and </w:t>
      </w:r>
      <w:r w:rsidRPr="009C111F">
        <w:rPr>
          <w:rFonts w:ascii="Times New Roman" w:hAnsi="Times New Roman" w:cs="Times New Roman"/>
          <w:color w:val="auto"/>
          <w:sz w:val="24"/>
          <w:szCs w:val="24"/>
        </w:rPr>
        <w:t>partner-organisation</w:t>
      </w:r>
      <w:r w:rsidRPr="009C111F">
        <w:rPr>
          <w:rFonts w:ascii="Times New Roman" w:hAnsi="Times New Roman" w:cs="Times New Roman"/>
          <w:color w:val="auto"/>
          <w:sz w:val="24"/>
          <w:szCs w:val="24"/>
        </w:rPr>
        <w:t xml:space="preserve"> personnel while engaged in Foundation activities. It covers:</w:t>
      </w:r>
    </w:p>
    <w:p w14:paraId="46DE81D3"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Child safeguarding — protection of all persons under 18 years from abuse, exploitation, and neglect.</w:t>
      </w:r>
    </w:p>
    <w:p w14:paraId="6127691F"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Safeguarding of vulnerable adults — protection of adults who, due to disability, age, illness, or circumstance, may be unable to protect themselves from harm.</w:t>
      </w:r>
    </w:p>
    <w:p w14:paraId="3FF8B290"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Protection from Sexual Exploitation, Abuse, and Harassment (PSEAH) — in line with the Inter-Agency Standing Committee (IASC) six core principles.</w:t>
      </w:r>
    </w:p>
    <w:p w14:paraId="42E71228" w14:textId="3B444163" w:rsidR="009C111F" w:rsidRPr="009C111F" w:rsidRDefault="009C111F" w:rsidP="009C111F">
      <w:pPr>
        <w:pStyle w:val="Heading2"/>
        <w:spacing w:line="360" w:lineRule="auto"/>
        <w:rPr>
          <w:rFonts w:ascii="Times New Roman" w:hAnsi="Times New Roman" w:cs="Times New Roman"/>
          <w:color w:val="auto"/>
          <w:sz w:val="24"/>
          <w:szCs w:val="24"/>
        </w:rPr>
      </w:pPr>
      <w:bookmarkStart w:id="3" w:name="_Toc236995349"/>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w:t>
      </w:r>
      <w:r w:rsidRPr="009C111F">
        <w:rPr>
          <w:rFonts w:ascii="Times New Roman" w:hAnsi="Times New Roman" w:cs="Times New Roman"/>
          <w:color w:val="auto"/>
          <w:sz w:val="24"/>
          <w:szCs w:val="24"/>
        </w:rPr>
        <w:t>2</w:t>
      </w:r>
      <w:r w:rsidRPr="009C111F">
        <w:rPr>
          <w:rFonts w:ascii="Times New Roman" w:hAnsi="Times New Roman" w:cs="Times New Roman"/>
          <w:color w:val="auto"/>
          <w:sz w:val="24"/>
          <w:szCs w:val="24"/>
        </w:rPr>
        <w:t xml:space="preserve"> Code of Behaviour</w:t>
      </w:r>
      <w:bookmarkEnd w:id="3"/>
    </w:p>
    <w:p w14:paraId="35B06C30" w14:textId="77777777"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All personnel must:</w:t>
      </w:r>
    </w:p>
    <w:p w14:paraId="4C33373E"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Never be alone with a child outside the sight of another adult unless unavoidable and unforeseen, in which case it is reported to a supervisor at the earliest opportunity.</w:t>
      </w:r>
    </w:p>
    <w:p w14:paraId="63DB1C24"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Never use language, take photographs, or make contact (physical or online) that is inappropriate or sexually suggestive.</w:t>
      </w:r>
    </w:p>
    <w:p w14:paraId="67D36A04"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Never exchange money, employment, goods, or services for sexual activity, favours, or other forms of humiliating or degrading treatment.</w:t>
      </w:r>
    </w:p>
    <w:p w14:paraId="34970C99"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Comply with the Foundation's Photography and Image Consent procedure before photographing or filming any child or vulnerable adult.</w:t>
      </w:r>
    </w:p>
    <w:p w14:paraId="21CB07B3"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Report any concern, suspicion, or disclosure of abuse immediately, per the reporting procedure below — inaction is itself a breach of this Policy.</w:t>
      </w:r>
    </w:p>
    <w:p w14:paraId="04F327C3" w14:textId="633EAA0A" w:rsidR="009C111F" w:rsidRPr="009C111F" w:rsidRDefault="009C111F" w:rsidP="009C111F">
      <w:pPr>
        <w:pStyle w:val="Heading2"/>
        <w:spacing w:line="360" w:lineRule="auto"/>
        <w:rPr>
          <w:rFonts w:ascii="Times New Roman" w:hAnsi="Times New Roman" w:cs="Times New Roman"/>
          <w:color w:val="auto"/>
          <w:sz w:val="24"/>
          <w:szCs w:val="24"/>
        </w:rPr>
      </w:pPr>
      <w:bookmarkStart w:id="4" w:name="_Toc236995350"/>
      <w:r w:rsidRPr="009C111F">
        <w:rPr>
          <w:rFonts w:ascii="Times New Roman" w:hAnsi="Times New Roman" w:cs="Times New Roman"/>
          <w:color w:val="auto"/>
          <w:sz w:val="24"/>
          <w:szCs w:val="24"/>
        </w:rPr>
        <w:lastRenderedPageBreak/>
        <w:t>1</w:t>
      </w:r>
      <w:r w:rsidRPr="009C111F">
        <w:rPr>
          <w:rFonts w:ascii="Times New Roman" w:hAnsi="Times New Roman" w:cs="Times New Roman"/>
          <w:color w:val="auto"/>
          <w:sz w:val="24"/>
          <w:szCs w:val="24"/>
        </w:rPr>
        <w:t>.</w:t>
      </w:r>
      <w:r w:rsidRPr="009C111F">
        <w:rPr>
          <w:rFonts w:ascii="Times New Roman" w:hAnsi="Times New Roman" w:cs="Times New Roman"/>
          <w:color w:val="auto"/>
          <w:sz w:val="24"/>
          <w:szCs w:val="24"/>
        </w:rPr>
        <w:t>3</w:t>
      </w:r>
      <w:r w:rsidRPr="009C111F">
        <w:rPr>
          <w:rFonts w:ascii="Times New Roman" w:hAnsi="Times New Roman" w:cs="Times New Roman"/>
          <w:color w:val="auto"/>
          <w:sz w:val="24"/>
          <w:szCs w:val="24"/>
        </w:rPr>
        <w:t xml:space="preserve"> Recruitment and Vetting</w:t>
      </w:r>
      <w:bookmarkEnd w:id="4"/>
    </w:p>
    <w:p w14:paraId="7F490D1F" w14:textId="77777777"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 xml:space="preserve">All personnel in roles with contact with children or vulnerable adults </w:t>
      </w:r>
      <w:proofErr w:type="gramStart"/>
      <w:r w:rsidRPr="009C111F">
        <w:rPr>
          <w:rFonts w:ascii="Times New Roman" w:hAnsi="Times New Roman" w:cs="Times New Roman"/>
          <w:color w:val="auto"/>
          <w:sz w:val="24"/>
          <w:szCs w:val="24"/>
        </w:rPr>
        <w:t>undergo:</w:t>
      </w:r>
      <w:proofErr w:type="gramEnd"/>
      <w:r w:rsidRPr="009C111F">
        <w:rPr>
          <w:rFonts w:ascii="Times New Roman" w:hAnsi="Times New Roman" w:cs="Times New Roman"/>
          <w:color w:val="auto"/>
          <w:sz w:val="24"/>
          <w:szCs w:val="24"/>
        </w:rPr>
        <w:t xml:space="preserve"> reference checks explicitly covering safeguarding conduct; a police-clearance/background check where obtainable; safeguarding-specific interview questions; and mandatory signature of this Policy and the Code of Conduct before any unsupervised contact with beneficiaries.</w:t>
      </w:r>
    </w:p>
    <w:p w14:paraId="308961B0" w14:textId="53B4A24F" w:rsidR="009C111F" w:rsidRPr="009C111F" w:rsidRDefault="009C111F" w:rsidP="009C111F">
      <w:pPr>
        <w:pStyle w:val="Heading2"/>
        <w:spacing w:line="360" w:lineRule="auto"/>
        <w:rPr>
          <w:rFonts w:ascii="Times New Roman" w:hAnsi="Times New Roman" w:cs="Times New Roman"/>
          <w:color w:val="auto"/>
          <w:sz w:val="24"/>
          <w:szCs w:val="24"/>
        </w:rPr>
      </w:pPr>
      <w:bookmarkStart w:id="5" w:name="_Toc236995351"/>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w:t>
      </w:r>
      <w:r w:rsidRPr="009C111F">
        <w:rPr>
          <w:rFonts w:ascii="Times New Roman" w:hAnsi="Times New Roman" w:cs="Times New Roman"/>
          <w:color w:val="auto"/>
          <w:sz w:val="24"/>
          <w:szCs w:val="24"/>
        </w:rPr>
        <w:t>4</w:t>
      </w:r>
      <w:r w:rsidRPr="009C111F">
        <w:rPr>
          <w:rFonts w:ascii="Times New Roman" w:hAnsi="Times New Roman" w:cs="Times New Roman"/>
          <w:color w:val="auto"/>
          <w:sz w:val="24"/>
          <w:szCs w:val="24"/>
        </w:rPr>
        <w:t xml:space="preserve"> Training</w:t>
      </w:r>
      <w:bookmarkEnd w:id="5"/>
    </w:p>
    <w:p w14:paraId="046E6AC0" w14:textId="53C38C56"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All staff, volunteers, and relevant partner personnel receive safeguarding induction training before starting work and refresher training at minimum annually. Training covers recognizing signs of abuse, this Policy's reporting procedure, low-risk behaviour standards, and PSEAH.</w:t>
      </w:r>
    </w:p>
    <w:p w14:paraId="1B01F276" w14:textId="0893FDDF" w:rsidR="009C111F" w:rsidRPr="009C111F" w:rsidRDefault="009C111F" w:rsidP="009C111F">
      <w:pPr>
        <w:pStyle w:val="Heading2"/>
        <w:spacing w:line="360" w:lineRule="auto"/>
        <w:rPr>
          <w:rFonts w:ascii="Times New Roman" w:hAnsi="Times New Roman" w:cs="Times New Roman"/>
          <w:color w:val="auto"/>
          <w:sz w:val="24"/>
          <w:szCs w:val="24"/>
        </w:rPr>
      </w:pPr>
      <w:bookmarkStart w:id="6" w:name="_Toc236995353"/>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.5 Referral Pathway for Disclosures</w:t>
      </w:r>
      <w:bookmarkEnd w:id="6"/>
    </w:p>
    <w:p w14:paraId="34BF60E0" w14:textId="48EC655B"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Upon a disclosure of abuse, the Safeguarding Focal Point follows the Foundation's district referral pathway, coordinating</w:t>
      </w:r>
      <w:r>
        <w:rPr>
          <w:rFonts w:ascii="Times New Roman" w:hAnsi="Times New Roman" w:cs="Times New Roman"/>
          <w:color w:val="auto"/>
          <w:sz w:val="24"/>
          <w:szCs w:val="24"/>
        </w:rPr>
        <w:t xml:space="preserve">, </w:t>
      </w:r>
      <w:r w:rsidRPr="009C111F">
        <w:rPr>
          <w:rFonts w:ascii="Times New Roman" w:hAnsi="Times New Roman" w:cs="Times New Roman"/>
          <w:color w:val="auto"/>
          <w:sz w:val="24"/>
          <w:szCs w:val="24"/>
        </w:rPr>
        <w:t xml:space="preserve"> with the survivor's informed consent wherever they are able to give it</w:t>
      </w:r>
      <w:r>
        <w:rPr>
          <w:rFonts w:ascii="Times New Roman" w:hAnsi="Times New Roman" w:cs="Times New Roman"/>
          <w:color w:val="auto"/>
          <w:sz w:val="24"/>
          <w:szCs w:val="24"/>
        </w:rPr>
        <w:t>,</w:t>
      </w:r>
      <w:r w:rsidRPr="009C111F">
        <w:rPr>
          <w:rFonts w:ascii="Times New Roman" w:hAnsi="Times New Roman" w:cs="Times New Roman"/>
          <w:color w:val="auto"/>
          <w:sz w:val="24"/>
          <w:szCs w:val="24"/>
        </w:rPr>
        <w:t xml:space="preserve"> with: the Department of Social Welfare and Community Development office covering the relevant district; the Ghana Health Service facility nearest to the survivor for medical attention; the Ghana Police Service Domestic Violence and Victims Support Unit (DOVVSU) where a crime may have occurred; and a psychosocial support provider where available. Referral contact details are kept current in an internal Referral Directory, reviewed at minimum annually by the MEAL Officer.</w:t>
      </w:r>
    </w:p>
    <w:p w14:paraId="2CF43A35" w14:textId="361FB36E" w:rsidR="009C111F" w:rsidRPr="009C111F" w:rsidRDefault="009C111F" w:rsidP="009C111F">
      <w:pPr>
        <w:pStyle w:val="Heading2"/>
        <w:spacing w:line="360" w:lineRule="auto"/>
        <w:rPr>
          <w:rFonts w:ascii="Times New Roman" w:hAnsi="Times New Roman" w:cs="Times New Roman"/>
          <w:color w:val="auto"/>
          <w:sz w:val="24"/>
          <w:szCs w:val="24"/>
        </w:rPr>
      </w:pPr>
      <w:bookmarkStart w:id="7" w:name="_Toc236995354"/>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.6 Designated Safeguarding Focal Points</w:t>
      </w:r>
      <w:bookmarkEnd w:id="7"/>
    </w:p>
    <w:p w14:paraId="3069CC03"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Safeguarding Focal Point (Secretariat level): the MEAL Officer, trained to receive and triage concerns.</w:t>
      </w:r>
    </w:p>
    <w:p w14:paraId="65C450E0" w14:textId="77777777" w:rsidR="009C111F" w:rsidRPr="009C111F" w:rsidRDefault="009C111F" w:rsidP="009C111F">
      <w:pPr>
        <w:pStyle w:val="ListParagraph"/>
        <w:numPr>
          <w:ilvl w:val="0"/>
          <w:numId w:val="1"/>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Safeguarding Champion (Board level): one designated independent Trustee, who receives reports where the concern involves the Executive Director or senior management, or where the Secretariat-level Focal Point has a conflict of interest.</w:t>
      </w:r>
    </w:p>
    <w:p w14:paraId="67C9DED6" w14:textId="4198EBD3" w:rsidR="009C111F" w:rsidRPr="009C111F" w:rsidRDefault="009C111F" w:rsidP="009C111F">
      <w:pPr>
        <w:pStyle w:val="Heading2"/>
        <w:spacing w:line="360" w:lineRule="auto"/>
        <w:rPr>
          <w:rFonts w:ascii="Times New Roman" w:hAnsi="Times New Roman" w:cs="Times New Roman"/>
          <w:color w:val="auto"/>
          <w:sz w:val="24"/>
          <w:szCs w:val="24"/>
        </w:rPr>
      </w:pPr>
      <w:bookmarkStart w:id="8" w:name="_Toc236995355"/>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.7 Reporting Procedure</w:t>
      </w:r>
      <w:bookmarkEnd w:id="8"/>
    </w:p>
    <w:p w14:paraId="4676A729" w14:textId="61E3E0DB" w:rsidR="009C111F" w:rsidRPr="009C111F" w:rsidRDefault="009C111F" w:rsidP="009C111F">
      <w:pPr>
        <w:pStyle w:val="ListParagraph"/>
        <w:numPr>
          <w:ilvl w:val="0"/>
          <w:numId w:val="2"/>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Any person — staff, beneficiary, community member — may report a concern verbally or in writing to either Focal Point</w:t>
      </w:r>
      <w:r>
        <w:rPr>
          <w:rFonts w:ascii="Times New Roman" w:hAnsi="Times New Roman" w:cs="Times New Roman"/>
          <w:color w:val="auto"/>
          <w:sz w:val="24"/>
          <w:szCs w:val="24"/>
        </w:rPr>
        <w:t>.</w:t>
      </w:r>
    </w:p>
    <w:p w14:paraId="50F7AD8E" w14:textId="77777777" w:rsidR="009C111F" w:rsidRPr="009C111F" w:rsidRDefault="009C111F" w:rsidP="009C111F">
      <w:pPr>
        <w:pStyle w:val="ListParagraph"/>
        <w:numPr>
          <w:ilvl w:val="0"/>
          <w:numId w:val="2"/>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The receiving Focal Point records the concern on a standard Safeguarding Incident Report form within 24 hours and keeps it in a secure, restricted-access file.</w:t>
      </w:r>
    </w:p>
    <w:p w14:paraId="48C9FC5F" w14:textId="77777777" w:rsidR="009C111F" w:rsidRPr="009C111F" w:rsidRDefault="009C111F" w:rsidP="009C111F">
      <w:pPr>
        <w:pStyle w:val="ListParagraph"/>
        <w:numPr>
          <w:ilvl w:val="0"/>
          <w:numId w:val="2"/>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lastRenderedPageBreak/>
        <w:t>An initial risk assessment and any immediate protective action (e.g., suspension of the accused person pending investigation, referral to statutory child-protection services) is completed within 48 hours.</w:t>
      </w:r>
    </w:p>
    <w:p w14:paraId="07E3B5E9" w14:textId="77777777" w:rsidR="009C111F" w:rsidRPr="009C111F" w:rsidRDefault="009C111F" w:rsidP="009C111F">
      <w:pPr>
        <w:pStyle w:val="ListParagraph"/>
        <w:numPr>
          <w:ilvl w:val="0"/>
          <w:numId w:val="2"/>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Serious concerns are reported to the Board Safeguarding Champion within 48 hours and, where required by law or by donor agreement, to the relevant statutory authority (e.g., Department of Social Welfare, Ghana Police Service Domestic Violence and Victims Support Unit) and to affected donors, generally within 5 working days of the Foundation becoming aware, subject to the specific donor's notification clause.</w:t>
      </w:r>
    </w:p>
    <w:p w14:paraId="45C6669D" w14:textId="2D46848C" w:rsidR="009C111F" w:rsidRPr="009C111F" w:rsidRDefault="009C111F" w:rsidP="009C111F">
      <w:pPr>
        <w:pStyle w:val="ListParagraph"/>
        <w:numPr>
          <w:ilvl w:val="0"/>
          <w:numId w:val="2"/>
        </w:numPr>
        <w:spacing w:after="60" w:line="360" w:lineRule="auto"/>
        <w:contextualSpacing w:val="0"/>
        <w:rPr>
          <w:rFonts w:ascii="Times New Roman" w:hAnsi="Times New Roman" w:cs="Times New Roman"/>
          <w:color w:val="auto"/>
          <w:sz w:val="24"/>
          <w:szCs w:val="24"/>
        </w:rPr>
      </w:pPr>
      <w:r w:rsidRPr="009C111F">
        <w:rPr>
          <w:rFonts w:ascii="Times New Roman" w:hAnsi="Times New Roman" w:cs="Times New Roman"/>
          <w:color w:val="auto"/>
          <w:sz w:val="24"/>
          <w:szCs w:val="24"/>
        </w:rPr>
        <w:t>Investigations follow due process, protect the confidentiality and welfare of the survivor/complainant, and conclude with a documented outcome</w:t>
      </w:r>
      <w:r w:rsidRPr="009C111F">
        <w:rPr>
          <w:rFonts w:ascii="Times New Roman" w:hAnsi="Times New Roman" w:cs="Times New Roman"/>
          <w:color w:val="auto"/>
          <w:sz w:val="24"/>
          <w:szCs w:val="24"/>
        </w:rPr>
        <w:t>.</w:t>
      </w:r>
    </w:p>
    <w:p w14:paraId="333535E3" w14:textId="77777777" w:rsidR="009C111F" w:rsidRPr="009C111F" w:rsidRDefault="009C111F" w:rsidP="009C111F">
      <w:pPr>
        <w:pStyle w:val="ListParagraph"/>
        <w:spacing w:after="60" w:line="360" w:lineRule="auto"/>
        <w:ind w:left="400"/>
        <w:contextualSpacing w:val="0"/>
        <w:rPr>
          <w:rFonts w:ascii="Times New Roman" w:hAnsi="Times New Roman" w:cs="Times New Roman"/>
          <w:color w:val="auto"/>
          <w:sz w:val="24"/>
          <w:szCs w:val="24"/>
        </w:rPr>
      </w:pPr>
    </w:p>
    <w:p w14:paraId="39717C48" w14:textId="512DBCDB" w:rsidR="009C111F" w:rsidRPr="009C111F" w:rsidRDefault="009C111F" w:rsidP="009C111F">
      <w:pPr>
        <w:pStyle w:val="Heading2"/>
        <w:spacing w:line="360" w:lineRule="auto"/>
        <w:rPr>
          <w:rFonts w:ascii="Times New Roman" w:hAnsi="Times New Roman" w:cs="Times New Roman"/>
          <w:color w:val="auto"/>
          <w:sz w:val="24"/>
          <w:szCs w:val="24"/>
        </w:rPr>
      </w:pPr>
      <w:bookmarkStart w:id="9" w:name="_Toc236995356"/>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.8 Survivor-Centred Response</w:t>
      </w:r>
      <w:bookmarkEnd w:id="9"/>
    </w:p>
    <w:p w14:paraId="51B9A37B" w14:textId="72EC227C"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 xml:space="preserve">All responses to disclosures </w:t>
      </w:r>
      <w:r w:rsidRPr="009C111F">
        <w:rPr>
          <w:rFonts w:ascii="Times New Roman" w:hAnsi="Times New Roman" w:cs="Times New Roman"/>
          <w:color w:val="auto"/>
          <w:sz w:val="24"/>
          <w:szCs w:val="24"/>
        </w:rPr>
        <w:t>prioritise</w:t>
      </w:r>
      <w:r w:rsidRPr="009C111F">
        <w:rPr>
          <w:rFonts w:ascii="Times New Roman" w:hAnsi="Times New Roman" w:cs="Times New Roman"/>
          <w:color w:val="auto"/>
          <w:sz w:val="24"/>
          <w:szCs w:val="24"/>
        </w:rPr>
        <w:t xml:space="preserve"> the safety, dignity, and wishes of the survivor; involve only those with a strict need to know; and ensure referral to appropriate medical, psychosocial, and legal support services within the Foundation's district referral pathway.</w:t>
      </w:r>
    </w:p>
    <w:p w14:paraId="59C190E8" w14:textId="08F77CA4" w:rsidR="009C111F" w:rsidRPr="009C111F" w:rsidRDefault="009C111F" w:rsidP="009C111F">
      <w:pPr>
        <w:pStyle w:val="Heading2"/>
        <w:spacing w:line="360" w:lineRule="auto"/>
        <w:rPr>
          <w:rFonts w:ascii="Times New Roman" w:hAnsi="Times New Roman" w:cs="Times New Roman"/>
          <w:color w:val="auto"/>
          <w:sz w:val="24"/>
          <w:szCs w:val="24"/>
        </w:rPr>
      </w:pPr>
      <w:bookmarkStart w:id="10" w:name="_Toc236995357"/>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.9 Partner and Supplier Obligations</w:t>
      </w:r>
      <w:bookmarkEnd w:id="10"/>
    </w:p>
    <w:p w14:paraId="71E0EB58" w14:textId="6512E6A4"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 xml:space="preserve">All sub-grantees, partner </w:t>
      </w:r>
      <w:r w:rsidRPr="009C111F">
        <w:rPr>
          <w:rFonts w:ascii="Times New Roman" w:hAnsi="Times New Roman" w:cs="Times New Roman"/>
          <w:color w:val="auto"/>
          <w:sz w:val="24"/>
          <w:szCs w:val="24"/>
        </w:rPr>
        <w:t>organisations</w:t>
      </w:r>
      <w:r w:rsidRPr="009C111F">
        <w:rPr>
          <w:rFonts w:ascii="Times New Roman" w:hAnsi="Times New Roman" w:cs="Times New Roman"/>
          <w:color w:val="auto"/>
          <w:sz w:val="24"/>
          <w:szCs w:val="24"/>
        </w:rPr>
        <w:t>, and suppliers with beneficiary contact are contractually required to have or adopt an equivalent safeguarding policy, to report concerns to the Foundation's Focal Points, and to cooperate with any Foundation-led investigation.</w:t>
      </w:r>
    </w:p>
    <w:p w14:paraId="5CB191B8" w14:textId="17D7FDDC" w:rsidR="009C111F" w:rsidRPr="009C111F" w:rsidRDefault="009C111F" w:rsidP="009C111F">
      <w:pPr>
        <w:pStyle w:val="Heading2"/>
        <w:spacing w:line="360" w:lineRule="auto"/>
        <w:rPr>
          <w:rFonts w:ascii="Times New Roman" w:hAnsi="Times New Roman" w:cs="Times New Roman"/>
          <w:color w:val="auto"/>
          <w:sz w:val="24"/>
          <w:szCs w:val="24"/>
        </w:rPr>
      </w:pPr>
      <w:bookmarkStart w:id="11" w:name="_Toc236995358"/>
      <w:r w:rsidRPr="009C111F">
        <w:rPr>
          <w:rFonts w:ascii="Times New Roman" w:hAnsi="Times New Roman" w:cs="Times New Roman"/>
          <w:color w:val="auto"/>
          <w:sz w:val="24"/>
          <w:szCs w:val="24"/>
        </w:rPr>
        <w:t>1</w:t>
      </w:r>
      <w:r w:rsidRPr="009C111F">
        <w:rPr>
          <w:rFonts w:ascii="Times New Roman" w:hAnsi="Times New Roman" w:cs="Times New Roman"/>
          <w:color w:val="auto"/>
          <w:sz w:val="24"/>
          <w:szCs w:val="24"/>
        </w:rPr>
        <w:t>.10 Monitoring and Review</w:t>
      </w:r>
      <w:bookmarkEnd w:id="11"/>
    </w:p>
    <w:p w14:paraId="23301856" w14:textId="77777777" w:rsidR="009C111F" w:rsidRPr="009C111F" w:rsidRDefault="009C111F" w:rsidP="009C111F">
      <w:pPr>
        <w:spacing w:line="360" w:lineRule="auto"/>
        <w:jc w:val="both"/>
        <w:rPr>
          <w:rFonts w:ascii="Times New Roman" w:hAnsi="Times New Roman" w:cs="Times New Roman"/>
          <w:color w:val="auto"/>
          <w:sz w:val="24"/>
          <w:szCs w:val="24"/>
        </w:rPr>
      </w:pPr>
      <w:r w:rsidRPr="009C111F">
        <w:rPr>
          <w:rFonts w:ascii="Times New Roman" w:hAnsi="Times New Roman" w:cs="Times New Roman"/>
          <w:color w:val="auto"/>
          <w:sz w:val="24"/>
          <w:szCs w:val="24"/>
        </w:rPr>
        <w:t>Safeguarding performance (numbers and nature of concerns reported and resolved, training completion rates) is reported to the Board Finance &amp; Audit Committee at least twice yearly. This Policy is reviewed at minimum every two years or following any significant incident.</w:t>
      </w:r>
    </w:p>
    <w:p w14:paraId="027183F3" w14:textId="32D8A5B6" w:rsidR="00961221" w:rsidRPr="009C111F" w:rsidRDefault="00961221" w:rsidP="009C111F">
      <w:pPr>
        <w:spacing w:line="360" w:lineRule="auto"/>
        <w:rPr>
          <w:rFonts w:ascii="Times New Roman" w:hAnsi="Times New Roman" w:cs="Times New Roman"/>
          <w:color w:val="auto"/>
          <w:sz w:val="24"/>
          <w:szCs w:val="24"/>
        </w:rPr>
      </w:pPr>
    </w:p>
    <w:sectPr w:rsidR="00961221" w:rsidRPr="009C11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645FC"/>
    <w:multiLevelType w:val="hybridMultilevel"/>
    <w:tmpl w:val="505C4134"/>
    <w:lvl w:ilvl="0" w:tplc="FA483690">
      <w:start w:val="1"/>
      <w:numFmt w:val="decimal"/>
      <w:lvlText w:val="%1."/>
      <w:lvlJc w:val="left"/>
      <w:pPr>
        <w:ind w:left="400" w:hanging="260"/>
      </w:pPr>
    </w:lvl>
    <w:lvl w:ilvl="1" w:tplc="9C18EF92">
      <w:numFmt w:val="decimal"/>
      <w:lvlText w:val=""/>
      <w:lvlJc w:val="left"/>
    </w:lvl>
    <w:lvl w:ilvl="2" w:tplc="5F501C0A">
      <w:numFmt w:val="decimal"/>
      <w:lvlText w:val=""/>
      <w:lvlJc w:val="left"/>
    </w:lvl>
    <w:lvl w:ilvl="3" w:tplc="0F466876">
      <w:numFmt w:val="decimal"/>
      <w:lvlText w:val=""/>
      <w:lvlJc w:val="left"/>
    </w:lvl>
    <w:lvl w:ilvl="4" w:tplc="0756E9CE">
      <w:numFmt w:val="decimal"/>
      <w:lvlText w:val=""/>
      <w:lvlJc w:val="left"/>
    </w:lvl>
    <w:lvl w:ilvl="5" w:tplc="0D5CEB4A">
      <w:numFmt w:val="decimal"/>
      <w:lvlText w:val=""/>
      <w:lvlJc w:val="left"/>
    </w:lvl>
    <w:lvl w:ilvl="6" w:tplc="2BEEB692">
      <w:numFmt w:val="decimal"/>
      <w:lvlText w:val=""/>
      <w:lvlJc w:val="left"/>
    </w:lvl>
    <w:lvl w:ilvl="7" w:tplc="7850342A">
      <w:numFmt w:val="decimal"/>
      <w:lvlText w:val=""/>
      <w:lvlJc w:val="left"/>
    </w:lvl>
    <w:lvl w:ilvl="8" w:tplc="A04852EA">
      <w:numFmt w:val="decimal"/>
      <w:lvlText w:val=""/>
      <w:lvlJc w:val="left"/>
    </w:lvl>
  </w:abstractNum>
  <w:abstractNum w:abstractNumId="1" w15:restartNumberingAfterBreak="0">
    <w:nsid w:val="438E6C9D"/>
    <w:multiLevelType w:val="hybridMultilevel"/>
    <w:tmpl w:val="32A89D22"/>
    <w:lvl w:ilvl="0" w:tplc="9F10B82C">
      <w:start w:val="1"/>
      <w:numFmt w:val="bullet"/>
      <w:lvlText w:val="●"/>
      <w:lvlJc w:val="left"/>
      <w:pPr>
        <w:ind w:left="720" w:hanging="360"/>
      </w:pPr>
    </w:lvl>
    <w:lvl w:ilvl="1" w:tplc="E02472E0">
      <w:start w:val="1"/>
      <w:numFmt w:val="bullet"/>
      <w:lvlText w:val="○"/>
      <w:lvlJc w:val="left"/>
      <w:pPr>
        <w:ind w:left="1440" w:hanging="360"/>
      </w:pPr>
    </w:lvl>
    <w:lvl w:ilvl="2" w:tplc="9EB86338">
      <w:start w:val="1"/>
      <w:numFmt w:val="bullet"/>
      <w:lvlText w:val="■"/>
      <w:lvlJc w:val="left"/>
      <w:pPr>
        <w:ind w:left="2160" w:hanging="360"/>
      </w:pPr>
    </w:lvl>
    <w:lvl w:ilvl="3" w:tplc="D2383C5C">
      <w:start w:val="1"/>
      <w:numFmt w:val="bullet"/>
      <w:lvlText w:val="●"/>
      <w:lvlJc w:val="left"/>
      <w:pPr>
        <w:ind w:left="2880" w:hanging="360"/>
      </w:pPr>
    </w:lvl>
    <w:lvl w:ilvl="4" w:tplc="245C2F76">
      <w:start w:val="1"/>
      <w:numFmt w:val="bullet"/>
      <w:lvlText w:val="○"/>
      <w:lvlJc w:val="left"/>
      <w:pPr>
        <w:ind w:left="3600" w:hanging="360"/>
      </w:pPr>
    </w:lvl>
    <w:lvl w:ilvl="5" w:tplc="06AC3D98">
      <w:start w:val="1"/>
      <w:numFmt w:val="bullet"/>
      <w:lvlText w:val="■"/>
      <w:lvlJc w:val="left"/>
      <w:pPr>
        <w:ind w:left="4320" w:hanging="360"/>
      </w:pPr>
    </w:lvl>
    <w:lvl w:ilvl="6" w:tplc="7BA03CFE">
      <w:start w:val="1"/>
      <w:numFmt w:val="bullet"/>
      <w:lvlText w:val="●"/>
      <w:lvlJc w:val="left"/>
      <w:pPr>
        <w:ind w:left="5040" w:hanging="360"/>
      </w:pPr>
    </w:lvl>
    <w:lvl w:ilvl="7" w:tplc="2E0CC94C">
      <w:start w:val="1"/>
      <w:numFmt w:val="bullet"/>
      <w:lvlText w:val="●"/>
      <w:lvlJc w:val="left"/>
      <w:pPr>
        <w:ind w:left="5760" w:hanging="360"/>
      </w:pPr>
    </w:lvl>
    <w:lvl w:ilvl="8" w:tplc="127217D4">
      <w:start w:val="1"/>
      <w:numFmt w:val="bullet"/>
      <w:lvlText w:val="●"/>
      <w:lvlJc w:val="left"/>
      <w:pPr>
        <w:ind w:left="6480" w:hanging="360"/>
      </w:pPr>
    </w:lvl>
  </w:abstractNum>
  <w:num w:numId="1" w16cid:durableId="1226379330">
    <w:abstractNumId w:val="1"/>
    <w:lvlOverride w:ilvl="0">
      <w:startOverride w:val="1"/>
    </w:lvlOverride>
  </w:num>
  <w:num w:numId="2" w16cid:durableId="7742515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1F"/>
    <w:rsid w:val="00275B21"/>
    <w:rsid w:val="00725DFB"/>
    <w:rsid w:val="00840577"/>
    <w:rsid w:val="00961221"/>
    <w:rsid w:val="009C111F"/>
    <w:rsid w:val="00A17081"/>
    <w:rsid w:val="00D502FF"/>
    <w:rsid w:val="00FA029F"/>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02516"/>
  <w15:chartTrackingRefBased/>
  <w15:docId w15:val="{7B702394-62E3-41AB-8CC2-8B8541EB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11F"/>
    <w:pPr>
      <w:spacing w:line="300" w:lineRule="auto"/>
    </w:pPr>
    <w:rPr>
      <w:rFonts w:ascii="Calibri" w:eastAsia="Calibri" w:hAnsi="Calibri" w:cs="Calibri"/>
      <w:color w:val="222222"/>
      <w:kern w:val="0"/>
      <w:sz w:val="23"/>
      <w:szCs w:val="23"/>
      <w:lang w:val="en-GH" w:eastAsia="en-GH"/>
      <w14:ligatures w14:val="none"/>
    </w:rPr>
  </w:style>
  <w:style w:type="paragraph" w:styleId="Heading1">
    <w:name w:val="heading 1"/>
    <w:basedOn w:val="Normal"/>
    <w:next w:val="Normal"/>
    <w:link w:val="Heading1Char"/>
    <w:uiPriority w:val="9"/>
    <w:qFormat/>
    <w:rsid w:val="009C1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1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6Colorful-Accent3">
    <w:name w:val="Grid Table 6 Colorful Accent 3"/>
    <w:basedOn w:val="TableNormal"/>
    <w:uiPriority w:val="51"/>
    <w:rsid w:val="00FA029F"/>
    <w:pPr>
      <w:spacing w:after="0" w:line="240" w:lineRule="auto"/>
    </w:pPr>
    <w:rPr>
      <w:color w:val="3A3A3A" w:themeColor="background2" w:themeShade="40"/>
      <w:kern w:val="0"/>
      <w:lang w:val="en-US"/>
      <w14:ligatures w14:val="none"/>
    </w:rPr>
    <w:tblPr>
      <w:tblStyleRowBandSize w:val="1"/>
      <w:tblStyleColBandSize w:val="1"/>
      <w:tblBorders>
        <w:top w:val="single" w:sz="4" w:space="0" w:color="F2F6F8"/>
        <w:left w:val="single" w:sz="4" w:space="0" w:color="F2F6F8"/>
        <w:bottom w:val="single" w:sz="4" w:space="0" w:color="F2F6F8"/>
        <w:right w:val="single" w:sz="4" w:space="0" w:color="F2F6F8"/>
        <w:insideH w:val="single" w:sz="4" w:space="0" w:color="F2F6F8"/>
        <w:insideV w:val="single" w:sz="4" w:space="0" w:color="F2F6F8"/>
      </w:tblBorders>
    </w:tblPr>
    <w:tcPr>
      <w:shd w:val="clear" w:color="auto" w:fill="FFFFFF" w:themeFill="background1"/>
    </w:tc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Heading1Char">
    <w:name w:val="Heading 1 Char"/>
    <w:basedOn w:val="DefaultParagraphFont"/>
    <w:link w:val="Heading1"/>
    <w:uiPriority w:val="9"/>
    <w:rsid w:val="009C1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1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11F"/>
    <w:rPr>
      <w:rFonts w:eastAsiaTheme="majorEastAsia" w:cstheme="majorBidi"/>
      <w:color w:val="272727" w:themeColor="text1" w:themeTint="D8"/>
    </w:rPr>
  </w:style>
  <w:style w:type="paragraph" w:styleId="Title">
    <w:name w:val="Title"/>
    <w:basedOn w:val="Normal"/>
    <w:next w:val="Normal"/>
    <w:link w:val="TitleChar"/>
    <w:uiPriority w:val="10"/>
    <w:qFormat/>
    <w:rsid w:val="009C1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11F"/>
    <w:pPr>
      <w:spacing w:before="160"/>
      <w:jc w:val="center"/>
    </w:pPr>
    <w:rPr>
      <w:i/>
      <w:iCs/>
      <w:color w:val="404040" w:themeColor="text1" w:themeTint="BF"/>
    </w:rPr>
  </w:style>
  <w:style w:type="character" w:customStyle="1" w:styleId="QuoteChar">
    <w:name w:val="Quote Char"/>
    <w:basedOn w:val="DefaultParagraphFont"/>
    <w:link w:val="Quote"/>
    <w:uiPriority w:val="29"/>
    <w:rsid w:val="009C111F"/>
    <w:rPr>
      <w:i/>
      <w:iCs/>
      <w:color w:val="404040" w:themeColor="text1" w:themeTint="BF"/>
    </w:rPr>
  </w:style>
  <w:style w:type="paragraph" w:styleId="ListParagraph">
    <w:name w:val="List Paragraph"/>
    <w:basedOn w:val="Normal"/>
    <w:qFormat/>
    <w:rsid w:val="009C111F"/>
    <w:pPr>
      <w:ind w:left="720"/>
      <w:contextualSpacing/>
    </w:pPr>
  </w:style>
  <w:style w:type="character" w:styleId="IntenseEmphasis">
    <w:name w:val="Intense Emphasis"/>
    <w:basedOn w:val="DefaultParagraphFont"/>
    <w:uiPriority w:val="21"/>
    <w:qFormat/>
    <w:rsid w:val="009C111F"/>
    <w:rPr>
      <w:i/>
      <w:iCs/>
      <w:color w:val="0F4761" w:themeColor="accent1" w:themeShade="BF"/>
    </w:rPr>
  </w:style>
  <w:style w:type="paragraph" w:styleId="IntenseQuote">
    <w:name w:val="Intense Quote"/>
    <w:basedOn w:val="Normal"/>
    <w:next w:val="Normal"/>
    <w:link w:val="IntenseQuoteChar"/>
    <w:uiPriority w:val="30"/>
    <w:qFormat/>
    <w:rsid w:val="009C1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11F"/>
    <w:rPr>
      <w:i/>
      <w:iCs/>
      <w:color w:val="0F4761" w:themeColor="accent1" w:themeShade="BF"/>
    </w:rPr>
  </w:style>
  <w:style w:type="character" w:styleId="IntenseReference">
    <w:name w:val="Intense Reference"/>
    <w:basedOn w:val="DefaultParagraphFont"/>
    <w:uiPriority w:val="32"/>
    <w:qFormat/>
    <w:rsid w:val="009C1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Opoku</dc:creator>
  <cp:keywords/>
  <dc:description/>
  <cp:lastModifiedBy>Philip Opoku</cp:lastModifiedBy>
  <cp:revision>1</cp:revision>
  <dcterms:created xsi:type="dcterms:W3CDTF">2026-08-07T11:42:00Z</dcterms:created>
  <dcterms:modified xsi:type="dcterms:W3CDTF">2026-08-07T11:57:00Z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b16074b5-0523-4b27-af6e-35a53d359d05</vt:lpwstr>
  </property>
</Properties>
</file>